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A" w:rsidRPr="005C012A" w:rsidRDefault="005C012A" w:rsidP="005C012A">
      <w:pPr>
        <w:bidi/>
        <w:spacing w:after="0" w:line="375" w:lineRule="atLeast"/>
        <w:ind w:left="426" w:right="252"/>
        <w:jc w:val="center"/>
        <w:rPr>
          <w:rFonts w:ascii="Verdana" w:eastAsia="Times New Roman" w:hAnsi="Verdana" w:cs="Times New Roman" w:hint="cs"/>
          <w:color w:val="616161"/>
          <w:sz w:val="17"/>
          <w:szCs w:val="17"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616161"/>
          <w:sz w:val="48"/>
          <w:szCs w:val="48"/>
          <w:rtl/>
          <w:lang w:eastAsia="fr-FR" w:bidi="ar-DZ"/>
        </w:rPr>
        <w:t>ا</w:t>
      </w:r>
      <w:r w:rsidRPr="005C012A">
        <w:rPr>
          <w:rFonts w:ascii="Simplified Arabic" w:eastAsia="Times New Roman" w:hAnsi="Simplified Arabic" w:cs="Simplified Arabic"/>
          <w:b/>
          <w:bCs/>
          <w:color w:val="616161"/>
          <w:sz w:val="48"/>
          <w:szCs w:val="48"/>
          <w:rtl/>
          <w:lang w:eastAsia="fr-FR" w:bidi="ar-DZ"/>
        </w:rPr>
        <w:t>لجمهورية الجزائرية الدّيمقراطية الشّعبية</w:t>
      </w:r>
    </w:p>
    <w:p w:rsidR="005C012A" w:rsidRPr="005C012A" w:rsidRDefault="005C012A" w:rsidP="005C012A">
      <w:pPr>
        <w:spacing w:after="0" w:line="375" w:lineRule="atLeast"/>
        <w:ind w:left="426" w:right="252"/>
        <w:jc w:val="center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Poor Richard" w:eastAsia="Times New Roman" w:hAnsi="Poor Richard" w:cs="Times New Roman"/>
          <w:b/>
          <w:bCs/>
          <w:color w:val="616161"/>
          <w:sz w:val="12"/>
          <w:szCs w:val="12"/>
          <w:lang w:eastAsia="fr-FR"/>
        </w:rPr>
        <w:t> </w:t>
      </w:r>
    </w:p>
    <w:p w:rsidR="005C012A" w:rsidRPr="005C012A" w:rsidRDefault="005C012A" w:rsidP="005C012A">
      <w:pPr>
        <w:spacing w:after="100" w:line="340" w:lineRule="atLeast"/>
        <w:ind w:left="426" w:right="252"/>
        <w:jc w:val="center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b/>
          <w:bCs/>
          <w:color w:val="616161"/>
          <w:sz w:val="36"/>
          <w:szCs w:val="36"/>
          <w:lang w:eastAsia="fr-FR"/>
        </w:rPr>
        <w:t>République Algérienne Démocratique et Populaire</w:t>
      </w:r>
    </w:p>
    <w:p w:rsidR="005C012A" w:rsidRPr="005C012A" w:rsidRDefault="005C012A" w:rsidP="005C012A">
      <w:pPr>
        <w:spacing w:after="0" w:line="375" w:lineRule="atLeast"/>
        <w:ind w:left="426" w:right="252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ae_AlMateen" w:eastAsia="Times New Roman" w:hAnsi="ae_AlMateen" w:cs="Times New Roman"/>
          <w:color w:val="616161"/>
          <w:sz w:val="17"/>
          <w:szCs w:val="17"/>
          <w:rtl/>
          <w:lang w:eastAsia="fr-FR" w:bidi="ar-EG"/>
        </w:rPr>
        <w:t> </w:t>
      </w:r>
    </w:p>
    <w:p w:rsidR="005C012A" w:rsidRPr="005C012A" w:rsidRDefault="005C012A" w:rsidP="005C012A">
      <w:pPr>
        <w:spacing w:after="0" w:line="375" w:lineRule="atLeast"/>
        <w:ind w:left="426"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  <w:t>Ministère de l’Enseignement Supérieur                                                      </w:t>
      </w:r>
    </w:p>
    <w:p w:rsidR="005C012A" w:rsidRPr="005C012A" w:rsidRDefault="005C012A" w:rsidP="005C012A">
      <w:pPr>
        <w:spacing w:after="120" w:line="375" w:lineRule="atLeast"/>
        <w:ind w:left="426"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proofErr w:type="gramStart"/>
      <w:r w:rsidRPr="005C012A"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  <w:t>et</w:t>
      </w:r>
      <w:proofErr w:type="gramEnd"/>
      <w:r w:rsidRPr="005C012A"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  <w:t xml:space="preserve"> de la Recherche Scientifique</w:t>
      </w:r>
    </w:p>
    <w:p w:rsidR="005C012A" w:rsidRPr="005C012A" w:rsidRDefault="005C012A" w:rsidP="005C012A">
      <w:pPr>
        <w:spacing w:after="0" w:line="375" w:lineRule="atLeast"/>
        <w:ind w:left="426"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b/>
          <w:bCs/>
          <w:color w:val="616161"/>
          <w:sz w:val="17"/>
          <w:szCs w:val="17"/>
          <w:lang w:eastAsia="fr-FR"/>
        </w:rPr>
        <w:t>Direction Générale de la Recherche Scientifique</w:t>
      </w:r>
    </w:p>
    <w:p w:rsidR="005C012A" w:rsidRPr="005C012A" w:rsidRDefault="005C012A" w:rsidP="005C012A">
      <w:pPr>
        <w:spacing w:after="120" w:line="375" w:lineRule="atLeast"/>
        <w:ind w:left="426"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proofErr w:type="gramStart"/>
      <w:r w:rsidRPr="005C012A">
        <w:rPr>
          <w:rFonts w:ascii="Verdana" w:eastAsia="Times New Roman" w:hAnsi="Verdana" w:cs="Times New Roman"/>
          <w:b/>
          <w:bCs/>
          <w:color w:val="616161"/>
          <w:sz w:val="17"/>
          <w:szCs w:val="17"/>
          <w:lang w:eastAsia="fr-FR"/>
        </w:rPr>
        <w:t>et</w:t>
      </w:r>
      <w:proofErr w:type="gramEnd"/>
      <w:r w:rsidRPr="005C012A">
        <w:rPr>
          <w:rFonts w:ascii="Verdana" w:eastAsia="Times New Roman" w:hAnsi="Verdana" w:cs="Times New Roman"/>
          <w:b/>
          <w:bCs/>
          <w:color w:val="616161"/>
          <w:sz w:val="17"/>
          <w:szCs w:val="17"/>
          <w:lang w:eastAsia="fr-FR"/>
        </w:rPr>
        <w:t xml:space="preserve"> du Développement Technologique</w:t>
      </w:r>
    </w:p>
    <w:p w:rsidR="005C012A" w:rsidRPr="005C012A" w:rsidRDefault="005C012A" w:rsidP="005C012A">
      <w:pPr>
        <w:spacing w:after="720" w:line="375" w:lineRule="atLeast"/>
        <w:ind w:left="426"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fr-FR"/>
        </w:rPr>
        <w:t>N° : 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12"/>
          <w:szCs w:val="12"/>
          <w:lang w:eastAsia="fr-FR"/>
        </w:rPr>
        <w:t>……..…………..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12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fr-FR"/>
        </w:rPr>
        <w:t>/D.G.R.S.D.T/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26"/>
          <w:szCs w:val="26"/>
          <w:lang w:eastAsia="fr-FR"/>
        </w:rPr>
        <w:t>2015</w:t>
      </w:r>
      <w:r w:rsidRPr="005C012A">
        <w:rPr>
          <w:rFonts w:ascii="Arial" w:eastAsia="Times New Roman" w:hAnsi="Arial" w:cs="Arial"/>
          <w:b/>
          <w:bCs/>
          <w:color w:val="616161"/>
          <w:sz w:val="26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26"/>
          <w:szCs w:val="26"/>
          <w:lang w:eastAsia="fr-FR"/>
        </w:rPr>
        <w:t>                                            Alger, le</w:t>
      </w:r>
      <w:r w:rsidRPr="005C012A">
        <w:rPr>
          <w:rFonts w:ascii="Times New Roman" w:eastAsia="Times New Roman" w:hAnsi="Times New Roman" w:cs="Times New Roman"/>
          <w:color w:val="616161"/>
          <w:sz w:val="24"/>
          <w:szCs w:val="2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12"/>
          <w:szCs w:val="12"/>
          <w:lang w:eastAsia="fr-FR"/>
        </w:rPr>
        <w:t>………….…………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center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b/>
          <w:bCs/>
          <w:color w:val="616161"/>
          <w:sz w:val="48"/>
          <w:szCs w:val="48"/>
          <w:lang w:eastAsia="fr-FR"/>
        </w:rPr>
        <w:t>Note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Dans le cadre de la mise en conformité des laboratoires et des unités de recherche agréés et dans la perspective d’une labellisation</w:t>
      </w:r>
      <w:r w:rsidRPr="005C012A">
        <w:rPr>
          <w:rFonts w:ascii="Times New Roman" w:eastAsia="Times New Roman" w:hAnsi="Times New Roman" w:cs="Times New Roman"/>
          <w:color w:val="616161"/>
          <w:sz w:val="32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32"/>
          <w:szCs w:val="32"/>
          <w:lang w:eastAsia="fr-FR"/>
        </w:rPr>
        <w:t>« DGRSDT »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, des experts effectueront un audit global de ces entités. A partir du mois de Novembre 2015 la légitimité des laboratoires et des unités de recherche reposera sur des évaluations continues faites sur site.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 xml:space="preserve">Le laboratoire et l’unité de recherche doivent suivre la stratégie de </w:t>
      </w:r>
      <w:proofErr w:type="gramStart"/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l’établissement</w:t>
      </w:r>
      <w:proofErr w:type="gramEnd"/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 xml:space="preserve"> de rattachement en termes de priorités pour le rayonnement et le développement du savoir. Ils doivent contribuer au développement des connaissances et répondre aux attentes économiques régionales ou nationales.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L’identification  de priorités s’avère une action nécessaire et capitale menée par l’ensemble des organes scientifiques de l’établissement.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Les laboratoires et les unités doivent :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Soutenir la notoriété intellectuelle et professionnelle au sein de l’économie du savoir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Harmoniser l’activité universitaire avec le développement économique de la région ou du pays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lastRenderedPageBreak/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Proposer des qualifications économiquement utiles et susceptibles d’intéresser l’entreprise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Avoir une excellence académique dans un contexte professionnel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Rechercher des financements externes 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Maintenir et améliorer sa visibilité et sa position à l’échelle nationale et internationale.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A cet effet, nous informons l’ensemble des directeurs de laboratoires / unités de recherche que l’évaluation et les visites d’experts débuteront le mois de</w:t>
      </w:r>
      <w:r w:rsidRPr="005C012A">
        <w:rPr>
          <w:rFonts w:ascii="Times New Roman" w:eastAsia="Times New Roman" w:hAnsi="Times New Roman" w:cs="Times New Roman"/>
          <w:color w:val="616161"/>
          <w:sz w:val="32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b/>
          <w:bCs/>
          <w:color w:val="616161"/>
          <w:sz w:val="32"/>
          <w:szCs w:val="32"/>
          <w:lang w:eastAsia="fr-FR"/>
        </w:rPr>
        <w:t>Novembre 2015</w:t>
      </w:r>
      <w:r w:rsidRPr="005C012A">
        <w:rPr>
          <w:rFonts w:ascii="Times New Roman" w:eastAsia="Times New Roman" w:hAnsi="Times New Roman" w:cs="Times New Roman"/>
          <w:color w:val="616161"/>
          <w:sz w:val="32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selon un programme défini par la DGRSDT sur son site internet.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Cette évaluation portera sur les points suivants :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Existence physique du laboratoire / unité (locaux, aménagements…etc.)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Conformité avec les statuts de l’entité (nombre de chercheurs, nombre d’équipes…)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La gouvernance du laboratoire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Les grands axes de la politique de recherche au sein de l’entité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Les projets de recherche et les bilans scientifiques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Support à la formation doctorale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La vie dans le laboratoire ;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right="252" w:hanging="360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Verdana" w:eastAsia="Times New Roman" w:hAnsi="Verdana" w:cs="Times New Roman"/>
          <w:color w:val="616161"/>
          <w:sz w:val="32"/>
          <w:szCs w:val="32"/>
          <w:lang w:eastAsia="fr-FR"/>
        </w:rPr>
        <w:t>-</w:t>
      </w:r>
      <w:r w:rsidRPr="005C012A">
        <w:rPr>
          <w:rFonts w:ascii="Times New Roman" w:eastAsia="Times New Roman" w:hAnsi="Times New Roman" w:cs="Times New Roman"/>
          <w:color w:val="616161"/>
          <w:sz w:val="14"/>
          <w:szCs w:val="14"/>
          <w:lang w:eastAsia="fr-FR"/>
        </w:rPr>
        <w:t>        </w:t>
      </w:r>
      <w:r w:rsidRPr="005C012A">
        <w:rPr>
          <w:rFonts w:ascii="Times New Roman" w:eastAsia="Times New Roman" w:hAnsi="Times New Roman" w:cs="Times New Roman"/>
          <w:color w:val="616161"/>
          <w:sz w:val="14"/>
          <w:lang w:eastAsia="fr-FR"/>
        </w:rPr>
        <w:t> </w:t>
      </w: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lang w:eastAsia="fr-FR"/>
        </w:rPr>
        <w:t>Interaction du laboratoire avec son environnement socio-économique.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jc w:val="both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color w:val="616161"/>
          <w:sz w:val="32"/>
          <w:szCs w:val="32"/>
          <w:rtl/>
          <w:lang w:eastAsia="fr-FR"/>
        </w:rPr>
        <w:t> </w:t>
      </w:r>
    </w:p>
    <w:p w:rsidR="005C012A" w:rsidRPr="005C012A" w:rsidRDefault="005C012A" w:rsidP="005C012A">
      <w:pPr>
        <w:spacing w:before="100" w:beforeAutospacing="1" w:after="100" w:afterAutospacing="1" w:line="375" w:lineRule="atLeast"/>
        <w:ind w:left="720"/>
        <w:jc w:val="right"/>
        <w:rPr>
          <w:rFonts w:ascii="Verdana" w:eastAsia="Times New Roman" w:hAnsi="Verdana" w:cs="Times New Roman"/>
          <w:color w:val="616161"/>
          <w:sz w:val="17"/>
          <w:szCs w:val="17"/>
          <w:lang w:eastAsia="fr-FR"/>
        </w:rPr>
      </w:pPr>
      <w:r w:rsidRPr="005C012A">
        <w:rPr>
          <w:rFonts w:ascii="Times New Roman" w:eastAsia="Times New Roman" w:hAnsi="Times New Roman" w:cs="Times New Roman"/>
          <w:b/>
          <w:bCs/>
          <w:color w:val="616161"/>
          <w:sz w:val="36"/>
          <w:szCs w:val="36"/>
          <w:lang w:eastAsia="fr-FR"/>
        </w:rPr>
        <w:t>Le Directeur Général</w:t>
      </w:r>
    </w:p>
    <w:p w:rsidR="00EB58BD" w:rsidRDefault="00EB58BD"/>
    <w:sectPr w:rsidR="00EB58BD" w:rsidSect="00EB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e_AlMatee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12A"/>
    <w:rsid w:val="005C012A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5C01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C012A"/>
  </w:style>
  <w:style w:type="paragraph" w:styleId="Paragraphedeliste">
    <w:name w:val="List Paragraph"/>
    <w:basedOn w:val="Normal"/>
    <w:uiPriority w:val="34"/>
    <w:qFormat/>
    <w:rsid w:val="005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i3</dc:creator>
  <cp:lastModifiedBy>MAXI i3</cp:lastModifiedBy>
  <cp:revision>1</cp:revision>
  <dcterms:created xsi:type="dcterms:W3CDTF">2015-09-21T09:04:00Z</dcterms:created>
  <dcterms:modified xsi:type="dcterms:W3CDTF">2015-09-21T09:05:00Z</dcterms:modified>
</cp:coreProperties>
</file>